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330" w:line="270"/>
        <w:ind w:right="0" w:left="0" w:firstLine="240"/>
        <w:jc w:val="left"/>
        <w:rPr>
          <w:rFonts w:ascii="微软雅黑" w:hAnsi="微软雅黑" w:cs="微软雅黑" w:eastAsia="微软雅黑"/>
          <w:b/>
          <w:color w:val="444444"/>
          <w:spacing w:val="0"/>
          <w:position w:val="0"/>
          <w:sz w:val="48"/>
          <w:shd w:fill="FFFFFF" w:val="clear"/>
        </w:rPr>
      </w:pPr>
      <w:r>
        <w:rPr>
          <w:rFonts w:ascii="微软雅黑" w:hAnsi="微软雅黑" w:cs="微软雅黑" w:eastAsia="微软雅黑"/>
          <w:b/>
          <w:color w:val="444444"/>
          <w:spacing w:val="0"/>
          <w:position w:val="0"/>
          <w:sz w:val="48"/>
          <w:shd w:fill="FFFFFF" w:val="clear"/>
        </w:rPr>
        <w:t xml:space="preserve">2018年中国双一流大学名单【42 所】 </w:t>
      </w:r>
    </w:p>
    <w:tbl>
      <w:tblPr/>
      <w:tblGrid>
        <w:gridCol w:w="2399"/>
        <w:gridCol w:w="1809"/>
        <w:gridCol w:w="1809"/>
        <w:gridCol w:w="2399"/>
      </w:tblGrid>
      <w:tr>
        <w:trPr>
          <w:trHeight w:val="375" w:hRule="auto"/>
          <w:jc w:val="left"/>
        </w:trPr>
        <w:tc>
          <w:tcPr>
            <w:tcW w:w="841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A类36所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中国人民大学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清华大学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北京航空航天大学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北京理工大学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中国农业大学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北京师范大学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中央民族大学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南开大学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天津大学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大连理工大学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吉林大学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哈尔滨工业大学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复旦大学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同济大学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上海交通大学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华东师范大学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东南大学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浙江大学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中国科学技术大学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厦门大学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山东大学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中国海洋大学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武汉大学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华中科技大学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中南大学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中山大学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华南理工大学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四川大学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重庆大学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电子科技大学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西安交通大学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西北工业大学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兰州大学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国防科技大学</w:t>
            </w:r>
          </w:p>
        </w:tc>
      </w:tr>
      <w:tr>
        <w:trPr>
          <w:trHeight w:val="375" w:hRule="auto"/>
          <w:jc w:val="left"/>
        </w:trPr>
        <w:tc>
          <w:tcPr>
            <w:tcW w:w="841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B类6所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东北大学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郑州大学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湖南大学</w:t>
            </w: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云南大学</w:t>
            </w:r>
          </w:p>
        </w:tc>
      </w:tr>
      <w:tr>
        <w:trPr>
          <w:trHeight w:val="375" w:hRule="auto"/>
          <w:jc w:val="left"/>
        </w:trPr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西北农林科技大学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新疆大学</w:t>
            </w:r>
          </w:p>
        </w:tc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225" w:line="420"/>
        <w:ind w:right="0" w:left="0" w:firstLine="0"/>
        <w:jc w:val="left"/>
        <w:rPr>
          <w:rFonts w:ascii="微软雅黑" w:hAnsi="微软雅黑" w:cs="微软雅黑" w:eastAsia="微软雅黑"/>
          <w:color w:val="444444"/>
          <w:spacing w:val="0"/>
          <w:position w:val="0"/>
          <w:sz w:val="23"/>
          <w:shd w:fill="FFFFFF" w:val="clear"/>
        </w:rPr>
      </w:pPr>
      <w:r>
        <w:rPr>
          <w:rFonts w:ascii="微软雅黑" w:hAnsi="微软雅黑" w:cs="微软雅黑" w:eastAsia="微软雅黑"/>
          <w:color w:val="444444"/>
          <w:spacing w:val="0"/>
          <w:position w:val="0"/>
          <w:sz w:val="23"/>
          <w:shd w:fill="FFFFFF" w:val="clear"/>
        </w:rPr>
        <w:t xml:space="preserve">　　</w:t>
      </w:r>
    </w:p>
    <w:p>
      <w:pPr>
        <w:widowControl w:val="false"/>
        <w:spacing w:before="0" w:after="225" w:line="420"/>
        <w:ind w:right="0" w:left="0" w:firstLine="0"/>
        <w:jc w:val="left"/>
        <w:rPr>
          <w:rFonts w:ascii="微软雅黑" w:hAnsi="微软雅黑" w:cs="微软雅黑" w:eastAsia="微软雅黑"/>
          <w:color w:val="444444"/>
          <w:spacing w:val="0"/>
          <w:position w:val="0"/>
          <w:sz w:val="23"/>
          <w:shd w:fill="FFFFFF" w:val="clear"/>
        </w:rPr>
      </w:pPr>
    </w:p>
    <w:p>
      <w:pPr>
        <w:widowControl w:val="false"/>
        <w:spacing w:before="0" w:after="225" w:line="420"/>
        <w:ind w:right="0" w:left="0" w:firstLine="1540"/>
        <w:jc w:val="left"/>
        <w:rPr>
          <w:rFonts w:ascii="微软雅黑" w:hAnsi="微软雅黑" w:cs="微软雅黑" w:eastAsia="微软雅黑"/>
          <w:color w:val="444444"/>
          <w:spacing w:val="0"/>
          <w:position w:val="0"/>
          <w:sz w:val="44"/>
          <w:shd w:fill="FFFFFF" w:val="clear"/>
        </w:rPr>
      </w:pPr>
      <w:r>
        <w:rPr>
          <w:rFonts w:ascii="微软雅黑" w:hAnsi="微软雅黑" w:cs="微软雅黑" w:eastAsia="微软雅黑"/>
          <w:b/>
          <w:color w:val="444444"/>
          <w:spacing w:val="0"/>
          <w:position w:val="0"/>
          <w:sz w:val="44"/>
          <w:shd w:fill="FFFFFF" w:val="clear"/>
        </w:rPr>
        <w:t xml:space="preserve">一流学科建设高校95所</w:t>
      </w:r>
    </w:p>
    <w:tbl>
      <w:tblPr/>
      <w:tblGrid>
        <w:gridCol w:w="2406"/>
        <w:gridCol w:w="2412"/>
        <w:gridCol w:w="2410"/>
        <w:gridCol w:w="2412"/>
      </w:tblGrid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北京交通大学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北京工业大学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北京科技大学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北京化工大学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北京邮电大学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北京林业大学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北京协和医学院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北京中医药大学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首都师范大学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北京外国语大学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中国传媒大学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中央财经大学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对外经济贸易大学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外交学院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中国人民公安大学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北京体育大学　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中央音乐学院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中国音乐学院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中央美术学院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中央戏剧学院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中国政法大学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天津工业大学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天津医科大学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天津中医药大学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华北电力大学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河北工业大学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太原理工大学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内蒙古大学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辽宁大学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大连海事大学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延边大学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东北师范大学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哈尔滨工程大学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东北农业大学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东北林业大学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华东理工大学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东华大学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上海海洋大学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上海中医药大学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上海外国语大学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上海财经大学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上海体育学院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上海音乐学院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上海大学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苏州大学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南京航空航天大学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南京理工大学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中国矿业大学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南京邮电大学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河海大学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江南大学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南京林业大学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南京信息工程大学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南京农业大学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南京中医药大学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中国药科大学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南京师范大学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中国美术学院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安徽大学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合肥工业大学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福州大学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南昌大学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河南大学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中国地质大学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武汉理工大学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华中农业大学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华中师范大学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中南财经政法大学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湖南师范大学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暨南大学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广州中医药大学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华南师范大学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海南大学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广西大学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西南交通大学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西南石油大学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成都理工大学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四川农业大学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成都中医药大学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西南大学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西南财经大学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贵州大学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西藏大学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西北大学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西安电子科技大学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长安大学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陕西师范大学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青海大学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宁夏大学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石河子大学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中国石油大学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宁波大学</w:t>
            </w:r>
          </w:p>
        </w:tc>
      </w:tr>
      <w:tr>
        <w:trPr>
          <w:trHeight w:val="375" w:hRule="auto"/>
          <w:jc w:val="left"/>
        </w:trPr>
        <w:tc>
          <w:tcPr>
            <w:tcW w:w="2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中国科学院大学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第二军医大学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软雅黑" w:hAnsi="微软雅黑" w:cs="微软雅黑" w:eastAsia="微软雅黑"/>
                <w:b/>
                <w:color w:val="444444"/>
                <w:spacing w:val="0"/>
                <w:position w:val="0"/>
                <w:sz w:val="28"/>
                <w:shd w:fill="auto" w:val="clear"/>
              </w:rPr>
              <w:t xml:space="preserve">第四军医大学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" w:type="dxa"/>
              <w:right w:w="7" w:type="dxa"/>
            </w:tcMar>
            <w:vAlign w:val="center"/>
          </w:tcPr>
          <w:p>
            <w:pPr>
              <w:widowControl w:val="false"/>
              <w:spacing w:before="0" w:after="15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